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8AFE" w14:textId="77777777" w:rsidR="004C1CEB" w:rsidRPr="00031285" w:rsidRDefault="004C1CEB" w:rsidP="004C1CEB">
      <w:pPr>
        <w:spacing w:line="360" w:lineRule="auto"/>
        <w:jc w:val="center"/>
        <w:rPr>
          <w:bCs/>
          <w:sz w:val="28"/>
          <w:szCs w:val="28"/>
          <w:lang w:val="lv-LV"/>
        </w:rPr>
      </w:pPr>
      <w:r w:rsidRPr="00513A8B">
        <w:rPr>
          <w:bCs/>
          <w:sz w:val="28"/>
          <w:szCs w:val="28"/>
          <w:lang w:val="lv-LV"/>
        </w:rPr>
        <w:t>Cenu piedāvājums</w:t>
      </w:r>
    </w:p>
    <w:p w14:paraId="0C50FBC8" w14:textId="690B3FC2" w:rsidR="004C1CEB" w:rsidRDefault="004C1CEB" w:rsidP="00600617">
      <w:pPr>
        <w:spacing w:after="160"/>
        <w:ind w:firstLine="720"/>
        <w:jc w:val="both"/>
        <w:rPr>
          <w:rFonts w:eastAsia="Calibri"/>
          <w:b w:val="0"/>
          <w:bCs/>
          <w:sz w:val="24"/>
          <w:szCs w:val="24"/>
          <w:lang w:val="lv-LV"/>
        </w:rPr>
      </w:pPr>
      <w:r w:rsidRPr="00513A8B">
        <w:rPr>
          <w:rFonts w:eastAsia="Calibri"/>
          <w:b w:val="0"/>
          <w:bCs/>
          <w:sz w:val="24"/>
          <w:szCs w:val="24"/>
          <w:lang w:val="lv-LV"/>
        </w:rPr>
        <w:t>Cenu piedāvājums</w:t>
      </w:r>
      <w:r>
        <w:rPr>
          <w:rFonts w:eastAsia="Calibri"/>
          <w:b w:val="0"/>
          <w:bCs/>
          <w:sz w:val="24"/>
          <w:szCs w:val="24"/>
          <w:lang w:val="lv-LV"/>
        </w:rPr>
        <w:t xml:space="preserve"> tiek pieprasīts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 xml:space="preserve"> iepirkuma</w:t>
      </w:r>
      <w:r w:rsidR="00413908">
        <w:rPr>
          <w:rFonts w:eastAsia="Calibri"/>
          <w:b w:val="0"/>
          <w:bCs/>
          <w:sz w:val="24"/>
          <w:szCs w:val="24"/>
          <w:lang w:val="lv-LV"/>
        </w:rPr>
        <w:t>m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 xml:space="preserve"> - tirgus izpēte</w:t>
      </w:r>
      <w:r w:rsidR="00413908">
        <w:rPr>
          <w:rFonts w:eastAsia="Calibri"/>
          <w:b w:val="0"/>
          <w:bCs/>
          <w:sz w:val="24"/>
          <w:szCs w:val="24"/>
          <w:lang w:val="lv-LV"/>
        </w:rPr>
        <w:t>i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 xml:space="preserve"> </w:t>
      </w:r>
      <w:r w:rsidRPr="004C1CEB">
        <w:rPr>
          <w:rFonts w:eastAsia="Calibri"/>
          <w:b w:val="0"/>
          <w:bCs/>
          <w:sz w:val="24"/>
          <w:szCs w:val="24"/>
          <w:lang w:val="lv-LV"/>
        </w:rPr>
        <w:t>“</w:t>
      </w:r>
      <w:r w:rsidR="00600617" w:rsidRPr="00600617">
        <w:rPr>
          <w:rFonts w:eastAsia="Calibri"/>
          <w:b w:val="0"/>
          <w:bCs/>
          <w:sz w:val="24"/>
          <w:szCs w:val="24"/>
          <w:lang w:val="lv-LV"/>
        </w:rPr>
        <w:t>Metodiskās norādes klīniskā audita veikšanai un klīniskais audits tiesu narkoloģisko ekspertīžu un ķīmiski toksikoloģiskās izmeklēšanas jomā</w:t>
      </w:r>
      <w:r w:rsidRPr="004C1CEB">
        <w:rPr>
          <w:rFonts w:eastAsia="Calibri"/>
          <w:b w:val="0"/>
          <w:bCs/>
          <w:sz w:val="24"/>
          <w:szCs w:val="24"/>
          <w:lang w:val="lv-LV"/>
        </w:rPr>
        <w:t>”</w:t>
      </w:r>
      <w:r w:rsidR="00600617">
        <w:rPr>
          <w:rFonts w:eastAsia="Calibri"/>
          <w:b w:val="0"/>
          <w:bCs/>
          <w:sz w:val="24"/>
          <w:szCs w:val="24"/>
          <w:lang w:val="lv-LV"/>
        </w:rPr>
        <w:t>,</w:t>
      </w:r>
      <w:r w:rsidRPr="004C1CEB">
        <w:rPr>
          <w:rFonts w:eastAsia="Calibri"/>
          <w:b w:val="0"/>
          <w:bCs/>
          <w:sz w:val="24"/>
          <w:szCs w:val="24"/>
          <w:lang w:val="lv-LV"/>
        </w:rPr>
        <w:t xml:space="preserve"> Nr.</w:t>
      </w:r>
      <w:r>
        <w:rPr>
          <w:rFonts w:eastAsia="Calibri"/>
          <w:b w:val="0"/>
          <w:bCs/>
          <w:sz w:val="24"/>
          <w:szCs w:val="24"/>
          <w:lang w:val="lv-LV"/>
        </w:rPr>
        <w:t> </w:t>
      </w:r>
      <w:r w:rsidRPr="004C1CEB">
        <w:rPr>
          <w:rFonts w:eastAsia="Calibri"/>
          <w:b w:val="0"/>
          <w:bCs/>
          <w:sz w:val="24"/>
          <w:szCs w:val="24"/>
          <w:lang w:val="lv-LV"/>
        </w:rPr>
        <w:t>NPVC/2025/6</w:t>
      </w:r>
      <w:r w:rsidR="00600617">
        <w:rPr>
          <w:rFonts w:eastAsia="Calibri"/>
          <w:b w:val="0"/>
          <w:bCs/>
          <w:sz w:val="24"/>
          <w:szCs w:val="24"/>
          <w:lang w:val="lv-LV"/>
        </w:rPr>
        <w:t>4</w:t>
      </w:r>
      <w:r w:rsidRPr="004C1CEB">
        <w:rPr>
          <w:rFonts w:eastAsia="Calibri"/>
          <w:b w:val="0"/>
          <w:bCs/>
          <w:sz w:val="24"/>
          <w:szCs w:val="24"/>
          <w:lang w:val="lv-LV"/>
        </w:rPr>
        <w:t>-t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>, lai noslēgtu attiecīgu</w:t>
      </w:r>
      <w:r>
        <w:rPr>
          <w:rFonts w:eastAsia="Calibri"/>
          <w:b w:val="0"/>
          <w:bCs/>
          <w:sz w:val="24"/>
          <w:szCs w:val="24"/>
          <w:lang w:val="lv-LV"/>
        </w:rPr>
        <w:t>s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 xml:space="preserve"> pakalpojuma līgumu</w:t>
      </w:r>
      <w:r>
        <w:rPr>
          <w:rFonts w:eastAsia="Calibri"/>
          <w:b w:val="0"/>
          <w:bCs/>
          <w:sz w:val="24"/>
          <w:szCs w:val="24"/>
          <w:lang w:val="lv-LV"/>
        </w:rPr>
        <w:t>s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 xml:space="preserve">. </w:t>
      </w:r>
      <w:r w:rsidR="00413908">
        <w:rPr>
          <w:rFonts w:eastAsia="Calibri"/>
          <w:b w:val="0"/>
          <w:bCs/>
          <w:sz w:val="24"/>
          <w:szCs w:val="24"/>
          <w:lang w:val="lv-LV"/>
        </w:rPr>
        <w:t>Tirgus izpētes dokumentācija</w:t>
      </w:r>
      <w:r w:rsidR="00F75D80">
        <w:rPr>
          <w:rFonts w:eastAsia="Calibri"/>
          <w:b w:val="0"/>
          <w:bCs/>
          <w:sz w:val="24"/>
          <w:szCs w:val="24"/>
          <w:lang w:val="lv-LV"/>
        </w:rPr>
        <w:t xml:space="preserve">, </w:t>
      </w:r>
      <w:r w:rsidRPr="00293D3F">
        <w:rPr>
          <w:rFonts w:eastAsia="Calibri"/>
          <w:b w:val="0"/>
          <w:bCs/>
          <w:sz w:val="24"/>
          <w:szCs w:val="24"/>
          <w:lang w:val="lv-LV"/>
        </w:rPr>
        <w:t xml:space="preserve">kā arī uzaicinājumi iesniegt savus pieteikumus un piedāvājumus tirgus izpētē tiks nosūtīti priekšizpētes laikā noskaidrotajiem iespējamajiem pretendentiem. </w:t>
      </w:r>
      <w:r>
        <w:rPr>
          <w:rFonts w:eastAsia="Calibri"/>
          <w:b w:val="0"/>
          <w:bCs/>
          <w:sz w:val="24"/>
          <w:szCs w:val="24"/>
          <w:lang w:val="lv-LV"/>
        </w:rPr>
        <w:t>L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>īgums tiks slēgts ar pretendentu, kas piedāvājis zemāko pakalpojuma cenu</w:t>
      </w:r>
      <w:r w:rsidR="00413908">
        <w:rPr>
          <w:rFonts w:eastAsia="Calibri"/>
          <w:b w:val="0"/>
          <w:bCs/>
          <w:sz w:val="24"/>
          <w:szCs w:val="24"/>
          <w:lang w:val="lv-LV"/>
        </w:rPr>
        <w:t xml:space="preserve"> katrā eksperta</w:t>
      </w:r>
      <w:r w:rsidR="00600617">
        <w:rPr>
          <w:rFonts w:eastAsia="Calibri"/>
          <w:b w:val="0"/>
          <w:bCs/>
          <w:sz w:val="24"/>
          <w:szCs w:val="24"/>
          <w:lang w:val="lv-LV"/>
        </w:rPr>
        <w:t>/speciālista</w:t>
      </w:r>
      <w:r w:rsidR="00413908">
        <w:rPr>
          <w:rFonts w:eastAsia="Calibri"/>
          <w:b w:val="0"/>
          <w:bCs/>
          <w:sz w:val="24"/>
          <w:szCs w:val="24"/>
          <w:lang w:val="lv-LV"/>
        </w:rPr>
        <w:t xml:space="preserve"> pozīcijā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 xml:space="preserve">. </w:t>
      </w:r>
      <w:r w:rsidRPr="00DF5A5F">
        <w:rPr>
          <w:rFonts w:eastAsia="Calibri"/>
          <w:b w:val="0"/>
          <w:bCs/>
          <w:sz w:val="24"/>
          <w:szCs w:val="24"/>
          <w:lang w:val="lv-LV"/>
        </w:rPr>
        <w:t xml:space="preserve">Līguma nosacījumi tiks atrunāti līguma slēgšanas </w:t>
      </w:r>
      <w:r w:rsidRPr="00513A8B">
        <w:rPr>
          <w:rFonts w:eastAsia="Calibri"/>
          <w:b w:val="0"/>
          <w:bCs/>
          <w:sz w:val="24"/>
          <w:szCs w:val="24"/>
          <w:lang w:val="lv-LV"/>
        </w:rPr>
        <w:t>procesā.</w:t>
      </w:r>
    </w:p>
    <w:p w14:paraId="19D7E267" w14:textId="2E7483D5" w:rsidR="004C1CEB" w:rsidRPr="00CC33E0" w:rsidRDefault="004C1CEB" w:rsidP="00600617">
      <w:pPr>
        <w:spacing w:before="120"/>
        <w:ind w:firstLine="720"/>
        <w:jc w:val="both"/>
        <w:rPr>
          <w:b w:val="0"/>
          <w:sz w:val="24"/>
          <w:szCs w:val="24"/>
          <w:lang w:val="lv-LV"/>
        </w:rPr>
      </w:pPr>
      <w:r w:rsidRPr="0D0E878D">
        <w:rPr>
          <w:rFonts w:eastAsia="Calibri"/>
          <w:b w:val="0"/>
          <w:sz w:val="24"/>
          <w:szCs w:val="24"/>
          <w:lang w:val="lv-LV"/>
        </w:rPr>
        <w:t xml:space="preserve">Tirgus izpētes rezultātā ar </w:t>
      </w:r>
      <w:r>
        <w:rPr>
          <w:rFonts w:eastAsia="Calibri"/>
          <w:b w:val="0"/>
          <w:sz w:val="24"/>
          <w:szCs w:val="24"/>
          <w:lang w:val="lv-LV"/>
        </w:rPr>
        <w:t xml:space="preserve">vienu </w:t>
      </w:r>
      <w:r w:rsidRPr="0D0E878D">
        <w:rPr>
          <w:rFonts w:eastAsia="Calibri"/>
          <w:b w:val="0"/>
          <w:sz w:val="24"/>
          <w:szCs w:val="24"/>
          <w:lang w:val="lv-LV"/>
        </w:rPr>
        <w:t>izvēlēt</w:t>
      </w:r>
      <w:r>
        <w:rPr>
          <w:rFonts w:eastAsia="Calibri"/>
          <w:b w:val="0"/>
          <w:sz w:val="24"/>
          <w:szCs w:val="24"/>
          <w:lang w:val="lv-LV"/>
        </w:rPr>
        <w:t>o</w:t>
      </w:r>
      <w:r w:rsidRPr="0D0E878D">
        <w:rPr>
          <w:rFonts w:eastAsia="Calibri"/>
          <w:b w:val="0"/>
          <w:sz w:val="24"/>
          <w:szCs w:val="24"/>
          <w:lang w:val="lv-LV"/>
        </w:rPr>
        <w:t xml:space="preserve"> ekspert</w:t>
      </w:r>
      <w:r>
        <w:rPr>
          <w:rFonts w:eastAsia="Calibri"/>
          <w:b w:val="0"/>
          <w:sz w:val="24"/>
          <w:szCs w:val="24"/>
          <w:lang w:val="lv-LV"/>
        </w:rPr>
        <w:t>u</w:t>
      </w:r>
      <w:r w:rsidR="00413908">
        <w:rPr>
          <w:rFonts w:eastAsia="Calibri"/>
          <w:b w:val="0"/>
          <w:sz w:val="24"/>
          <w:szCs w:val="24"/>
          <w:lang w:val="lv-LV"/>
        </w:rPr>
        <w:t>/</w:t>
      </w:r>
      <w:r w:rsidR="00600617">
        <w:rPr>
          <w:rFonts w:eastAsia="Calibri"/>
          <w:b w:val="0"/>
          <w:sz w:val="24"/>
          <w:szCs w:val="24"/>
          <w:lang w:val="lv-LV"/>
        </w:rPr>
        <w:t>speciālistu</w:t>
      </w:r>
      <w:r w:rsidR="00413908">
        <w:rPr>
          <w:rFonts w:eastAsia="Calibri"/>
          <w:b w:val="0"/>
          <w:sz w:val="24"/>
          <w:szCs w:val="24"/>
          <w:lang w:val="lv-LV"/>
        </w:rPr>
        <w:t xml:space="preserve"> </w:t>
      </w:r>
      <w:r>
        <w:rPr>
          <w:rFonts w:eastAsia="Calibri"/>
          <w:b w:val="0"/>
          <w:sz w:val="24"/>
          <w:szCs w:val="24"/>
          <w:lang w:val="lv-LV"/>
        </w:rPr>
        <w:t>katrā pozīcijā</w:t>
      </w:r>
      <w:r w:rsidRPr="0D0E878D">
        <w:rPr>
          <w:rFonts w:eastAsia="Calibri"/>
          <w:b w:val="0"/>
          <w:sz w:val="24"/>
          <w:szCs w:val="24"/>
          <w:lang w:val="lv-LV"/>
        </w:rPr>
        <w:t xml:space="preserve"> plānots slēgt uzņēmuma līgumu</w:t>
      </w:r>
      <w:r>
        <w:rPr>
          <w:rFonts w:eastAsia="Calibri"/>
          <w:b w:val="0"/>
          <w:sz w:val="24"/>
          <w:szCs w:val="24"/>
          <w:lang w:val="lv-LV"/>
        </w:rPr>
        <w:t xml:space="preserve">, </w:t>
      </w:r>
      <w:r w:rsidRPr="0D0E878D">
        <w:rPr>
          <w:rFonts w:eastAsia="Calibri"/>
          <w:b w:val="0"/>
          <w:sz w:val="24"/>
          <w:szCs w:val="24"/>
          <w:lang w:val="lv-LV"/>
        </w:rPr>
        <w:t>paredzot samaksu par</w:t>
      </w:r>
      <w:r>
        <w:rPr>
          <w:rFonts w:eastAsia="Calibri"/>
          <w:b w:val="0"/>
          <w:sz w:val="24"/>
          <w:szCs w:val="24"/>
          <w:lang w:val="lv-LV"/>
        </w:rPr>
        <w:t xml:space="preserve"> sniegtajiem pakalpojumiem, saskaņā ar piedāvāto darba stundas likmi kurā ietverti </w:t>
      </w:r>
      <w:r>
        <w:rPr>
          <w:b w:val="0"/>
          <w:bCs/>
          <w:sz w:val="24"/>
          <w:szCs w:val="24"/>
          <w:lang w:val="lv-LV"/>
        </w:rPr>
        <w:t>t.sk.,</w:t>
      </w:r>
      <w:r w:rsidRPr="00995E99">
        <w:rPr>
          <w:b w:val="0"/>
          <w:bCs/>
          <w:sz w:val="24"/>
          <w:szCs w:val="24"/>
          <w:lang w:val="lv-LV"/>
        </w:rPr>
        <w:t xml:space="preserve"> darba ņēmēja un darba devēja nodokļ</w:t>
      </w:r>
      <w:r>
        <w:rPr>
          <w:b w:val="0"/>
          <w:bCs/>
          <w:sz w:val="24"/>
          <w:szCs w:val="24"/>
          <w:lang w:val="lv-LV"/>
        </w:rPr>
        <w:t xml:space="preserve">i, </w:t>
      </w:r>
      <w:r w:rsidR="00413908">
        <w:rPr>
          <w:rFonts w:eastAsia="Calibri"/>
          <w:b w:val="0"/>
          <w:sz w:val="24"/>
          <w:szCs w:val="24"/>
          <w:lang w:val="lv-LV"/>
        </w:rPr>
        <w:t>uz</w:t>
      </w:r>
      <w:r>
        <w:rPr>
          <w:rFonts w:eastAsia="Calibri"/>
          <w:b w:val="0"/>
          <w:sz w:val="24"/>
          <w:szCs w:val="24"/>
          <w:lang w:val="lv-LV"/>
        </w:rPr>
        <w:t xml:space="preserve"> noteikto slodzi.</w:t>
      </w:r>
    </w:p>
    <w:p w14:paraId="0A154C7B" w14:textId="77777777" w:rsidR="004C1CEB" w:rsidRPr="00DF5A5F" w:rsidRDefault="004C1CEB" w:rsidP="004C1CEB">
      <w:pPr>
        <w:spacing w:after="160" w:line="259" w:lineRule="auto"/>
        <w:ind w:firstLine="720"/>
        <w:jc w:val="both"/>
        <w:rPr>
          <w:rFonts w:eastAsia="Calibri"/>
          <w:b w:val="0"/>
          <w:bCs/>
          <w:sz w:val="24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9"/>
        <w:gridCol w:w="2416"/>
      </w:tblGrid>
      <w:tr w:rsidR="004C1CEB" w:rsidRPr="00DF5A5F" w14:paraId="3AEA7E53" w14:textId="77777777" w:rsidTr="00600617">
        <w:trPr>
          <w:trHeight w:val="655"/>
          <w:jc w:val="center"/>
        </w:trPr>
        <w:tc>
          <w:tcPr>
            <w:tcW w:w="6229" w:type="dxa"/>
            <w:shd w:val="clear" w:color="auto" w:fill="D9F2D0" w:themeFill="accent6" w:themeFillTint="33"/>
            <w:vAlign w:val="center"/>
          </w:tcPr>
          <w:p w14:paraId="6E23D3F6" w14:textId="5AE2FAF1" w:rsidR="004C1CEB" w:rsidRPr="00600617" w:rsidRDefault="004C1CEB" w:rsidP="008E6A9D">
            <w:pPr>
              <w:jc w:val="center"/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</w:pPr>
            <w:r w:rsidRPr="00600617"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  <w:t>Ekspertu</w:t>
            </w:r>
            <w:r w:rsidR="00413908" w:rsidRPr="00600617"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  <w:t>/</w:t>
            </w:r>
            <w:r w:rsidR="00600617" w:rsidRPr="00600617"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  <w:t xml:space="preserve">speciālistu </w:t>
            </w:r>
            <w:r w:rsidRPr="00600617"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  <w:t>pozīcija, saskaņā ar</w:t>
            </w:r>
            <w:r w:rsidR="00413908" w:rsidRPr="00600617"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600617"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  <w:t>sarakstu (</w:t>
            </w:r>
            <w:r w:rsidR="00600617" w:rsidRPr="00600617"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  <w:t>1. </w:t>
            </w:r>
            <w:r w:rsidRPr="00600617"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  <w:t>pielikums)</w:t>
            </w:r>
          </w:p>
        </w:tc>
        <w:tc>
          <w:tcPr>
            <w:tcW w:w="2416" w:type="dxa"/>
            <w:shd w:val="clear" w:color="auto" w:fill="D9F2D0" w:themeFill="accent6" w:themeFillTint="33"/>
            <w:vAlign w:val="center"/>
          </w:tcPr>
          <w:p w14:paraId="6F8776EE" w14:textId="619D319D" w:rsidR="004C1CEB" w:rsidRPr="00600617" w:rsidRDefault="004C1CEB" w:rsidP="008E6A9D">
            <w:pPr>
              <w:jc w:val="center"/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</w:pPr>
            <w:r w:rsidRPr="00600617">
              <w:rPr>
                <w:rFonts w:eastAsia="Calibri"/>
                <w:bCs/>
                <w:i/>
                <w:iCs/>
                <w:sz w:val="24"/>
                <w:szCs w:val="24"/>
                <w:lang w:val="lv-LV"/>
              </w:rPr>
              <w:t>Cena EUR bez PVN/h</w:t>
            </w:r>
            <w:r w:rsidR="00600617">
              <w:rPr>
                <w:rStyle w:val="FootnoteReference"/>
                <w:rFonts w:eastAsia="Calibri"/>
                <w:bCs/>
                <w:i/>
                <w:iCs/>
                <w:sz w:val="24"/>
                <w:szCs w:val="24"/>
                <w:lang w:val="lv-LV"/>
              </w:rPr>
              <w:footnoteReference w:id="1"/>
            </w:r>
          </w:p>
        </w:tc>
      </w:tr>
      <w:tr w:rsidR="004C1CEB" w:rsidRPr="00DF5A5F" w14:paraId="7AC7E4D3" w14:textId="77777777" w:rsidTr="00600617">
        <w:trPr>
          <w:trHeight w:val="655"/>
          <w:jc w:val="center"/>
        </w:trPr>
        <w:tc>
          <w:tcPr>
            <w:tcW w:w="6229" w:type="dxa"/>
            <w:shd w:val="clear" w:color="auto" w:fill="F2F2F2"/>
            <w:vAlign w:val="center"/>
          </w:tcPr>
          <w:p w14:paraId="50FD055A" w14:textId="6E461D9C" w:rsidR="004C1CEB" w:rsidRPr="00DF5A5F" w:rsidRDefault="00600617" w:rsidP="008E6A9D">
            <w:pPr>
              <w:rPr>
                <w:rFonts w:eastAsia="Calibri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Narkologs (1)_</w:t>
            </w:r>
            <w:r w:rsidRPr="00ED0F59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Tiesu narkoloģiskās ekspertīzes audits</w:t>
            </w:r>
          </w:p>
        </w:tc>
        <w:tc>
          <w:tcPr>
            <w:tcW w:w="2416" w:type="dxa"/>
            <w:vAlign w:val="center"/>
          </w:tcPr>
          <w:p w14:paraId="15C32750" w14:textId="77777777" w:rsidR="004C1CEB" w:rsidRPr="00DF5A5F" w:rsidRDefault="004C1CEB" w:rsidP="008E6A9D">
            <w:pPr>
              <w:jc w:val="center"/>
              <w:rPr>
                <w:rFonts w:eastAsia="Calibri"/>
                <w:bCs/>
                <w:sz w:val="24"/>
                <w:szCs w:val="24"/>
                <w:lang w:val="lv-LV"/>
              </w:rPr>
            </w:pPr>
          </w:p>
        </w:tc>
      </w:tr>
      <w:tr w:rsidR="002D4E59" w:rsidRPr="00DF5A5F" w14:paraId="300F6FE5" w14:textId="77777777" w:rsidTr="00600617">
        <w:trPr>
          <w:trHeight w:val="655"/>
          <w:jc w:val="center"/>
        </w:trPr>
        <w:tc>
          <w:tcPr>
            <w:tcW w:w="6229" w:type="dxa"/>
            <w:shd w:val="clear" w:color="auto" w:fill="F2F2F2"/>
            <w:vAlign w:val="center"/>
          </w:tcPr>
          <w:p w14:paraId="4E1FFDE4" w14:textId="2BEE48A2" w:rsidR="002D4E59" w:rsidRDefault="00600617" w:rsidP="008E6A9D">
            <w:pPr>
              <w:rPr>
                <w:rFonts w:eastAsia="Calibri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Narkologs (2)_</w:t>
            </w:r>
            <w:r w:rsidRPr="00ED0F59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Tiesu narkoloģiskās ekspertīzes audits</w:t>
            </w:r>
          </w:p>
        </w:tc>
        <w:tc>
          <w:tcPr>
            <w:tcW w:w="2416" w:type="dxa"/>
            <w:vAlign w:val="center"/>
          </w:tcPr>
          <w:p w14:paraId="3C5BFD41" w14:textId="77777777" w:rsidR="002D4E59" w:rsidRPr="00DF5A5F" w:rsidRDefault="002D4E59" w:rsidP="008E6A9D">
            <w:pPr>
              <w:jc w:val="center"/>
              <w:rPr>
                <w:rFonts w:eastAsia="Calibri"/>
                <w:bCs/>
                <w:sz w:val="24"/>
                <w:szCs w:val="24"/>
                <w:lang w:val="lv-LV"/>
              </w:rPr>
            </w:pPr>
          </w:p>
        </w:tc>
      </w:tr>
      <w:tr w:rsidR="00600617" w:rsidRPr="00DF5A5F" w14:paraId="3A2CA3E4" w14:textId="77777777" w:rsidTr="00600617">
        <w:trPr>
          <w:trHeight w:val="655"/>
          <w:jc w:val="center"/>
        </w:trPr>
        <w:tc>
          <w:tcPr>
            <w:tcW w:w="6229" w:type="dxa"/>
            <w:shd w:val="clear" w:color="auto" w:fill="F2F2F2"/>
            <w:vAlign w:val="center"/>
          </w:tcPr>
          <w:p w14:paraId="3533CB56" w14:textId="036C3EAA" w:rsidR="00600617" w:rsidRDefault="00600617" w:rsidP="008E6A9D">
            <w:pPr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ED0F59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Rezident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s (1)_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Ķīmiski toksikoloģisko izmeklējumu ietekmes uz stacionāra pacientu diagnozi un ārstēšanu audits</w:t>
            </w:r>
          </w:p>
        </w:tc>
        <w:tc>
          <w:tcPr>
            <w:tcW w:w="2416" w:type="dxa"/>
            <w:vAlign w:val="center"/>
          </w:tcPr>
          <w:p w14:paraId="1F0C6934" w14:textId="77777777" w:rsidR="00600617" w:rsidRPr="00DF5A5F" w:rsidRDefault="00600617" w:rsidP="008E6A9D">
            <w:pPr>
              <w:jc w:val="center"/>
              <w:rPr>
                <w:rFonts w:eastAsia="Calibri"/>
                <w:bCs/>
                <w:sz w:val="24"/>
                <w:szCs w:val="24"/>
                <w:lang w:val="lv-LV"/>
              </w:rPr>
            </w:pPr>
          </w:p>
        </w:tc>
      </w:tr>
      <w:tr w:rsidR="00600617" w:rsidRPr="00DF5A5F" w14:paraId="63580F85" w14:textId="77777777" w:rsidTr="00600617">
        <w:trPr>
          <w:trHeight w:val="655"/>
          <w:jc w:val="center"/>
        </w:trPr>
        <w:tc>
          <w:tcPr>
            <w:tcW w:w="6229" w:type="dxa"/>
            <w:shd w:val="clear" w:color="auto" w:fill="F2F2F2"/>
            <w:vAlign w:val="center"/>
          </w:tcPr>
          <w:p w14:paraId="7E3E0DDA" w14:textId="3C7F25A4" w:rsidR="00600617" w:rsidRDefault="00600617" w:rsidP="008E6A9D">
            <w:pPr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 w:rsidRPr="00ED0F59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Rezident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s (2)_</w:t>
            </w:r>
            <w:r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Ķīmiski toksikoloģisko izmeklējumu ietekmes uz stacionāra pacientu diagnozi un ārstēšanu audits</w:t>
            </w:r>
          </w:p>
        </w:tc>
        <w:tc>
          <w:tcPr>
            <w:tcW w:w="2416" w:type="dxa"/>
            <w:vAlign w:val="center"/>
          </w:tcPr>
          <w:p w14:paraId="2DA66406" w14:textId="77777777" w:rsidR="00600617" w:rsidRPr="00DF5A5F" w:rsidRDefault="00600617" w:rsidP="008E6A9D">
            <w:pPr>
              <w:jc w:val="center"/>
              <w:rPr>
                <w:rFonts w:eastAsia="Calibri"/>
                <w:bCs/>
                <w:sz w:val="24"/>
                <w:szCs w:val="24"/>
                <w:lang w:val="lv-LV"/>
              </w:rPr>
            </w:pPr>
          </w:p>
        </w:tc>
      </w:tr>
      <w:tr w:rsidR="00600617" w:rsidRPr="00DF5A5F" w14:paraId="6D087B3F" w14:textId="77777777" w:rsidTr="00600617">
        <w:trPr>
          <w:trHeight w:val="655"/>
          <w:jc w:val="center"/>
        </w:trPr>
        <w:tc>
          <w:tcPr>
            <w:tcW w:w="6229" w:type="dxa"/>
            <w:shd w:val="clear" w:color="auto" w:fill="F2F2F2"/>
            <w:vAlign w:val="center"/>
          </w:tcPr>
          <w:p w14:paraId="0CC5BB89" w14:textId="1663C5A8" w:rsidR="00600617" w:rsidRDefault="00E3730F" w:rsidP="008E6A9D">
            <w:pPr>
              <w:rPr>
                <w:rFonts w:eastAsia="Calibri"/>
                <w:b w:val="0"/>
                <w:bCs/>
                <w:sz w:val="24"/>
                <w:szCs w:val="24"/>
                <w:lang w:val="lv-LV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S</w:t>
            </w:r>
            <w:r w:rsidR="00600617" w:rsidRPr="00ED0F59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tudent</w:t>
            </w:r>
            <w:r w:rsidR="00600617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s (</w:t>
            </w:r>
            <w:r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1</w:t>
            </w:r>
            <w:r w:rsidR="00600617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>)_</w:t>
            </w:r>
            <w:r w:rsidR="00600617" w:rsidRPr="00D8502A">
              <w:rPr>
                <w:rFonts w:eastAsia="Calibri"/>
                <w:b w:val="0"/>
                <w:bCs/>
                <w:sz w:val="24"/>
                <w:szCs w:val="24"/>
                <w:lang w:val="lv-LV"/>
              </w:rPr>
              <w:t xml:space="preserve"> Ķīmiski toksikoloģisko izmeklējumu ietekmes uz stacionāra pacientu diagnozi un ārstēšanu audits</w:t>
            </w:r>
          </w:p>
        </w:tc>
        <w:tc>
          <w:tcPr>
            <w:tcW w:w="2416" w:type="dxa"/>
            <w:vAlign w:val="center"/>
          </w:tcPr>
          <w:p w14:paraId="18B82FA5" w14:textId="77777777" w:rsidR="00600617" w:rsidRPr="00DF5A5F" w:rsidRDefault="00600617" w:rsidP="008E6A9D">
            <w:pPr>
              <w:jc w:val="center"/>
              <w:rPr>
                <w:rFonts w:eastAsia="Calibri"/>
                <w:bCs/>
                <w:sz w:val="24"/>
                <w:szCs w:val="24"/>
                <w:lang w:val="lv-LV"/>
              </w:rPr>
            </w:pPr>
          </w:p>
        </w:tc>
      </w:tr>
    </w:tbl>
    <w:p w14:paraId="608EF15A" w14:textId="77777777" w:rsidR="004C1CEB" w:rsidRDefault="004C1CEB" w:rsidP="004C1CEB">
      <w:pPr>
        <w:spacing w:line="276" w:lineRule="auto"/>
        <w:rPr>
          <w:b w:val="0"/>
          <w:i/>
          <w:iCs/>
          <w:sz w:val="24"/>
          <w:szCs w:val="24"/>
          <w:lang w:val="lv-LV"/>
        </w:rPr>
      </w:pPr>
    </w:p>
    <w:p w14:paraId="3265DDCB" w14:textId="64555A10" w:rsidR="004C1CEB" w:rsidRDefault="004C1CEB" w:rsidP="004C1CEB">
      <w:pPr>
        <w:spacing w:after="120" w:line="360" w:lineRule="auto"/>
        <w:jc w:val="both"/>
        <w:rPr>
          <w:b w:val="0"/>
          <w:sz w:val="24"/>
          <w:szCs w:val="24"/>
          <w:lang w:val="lv-LV"/>
        </w:rPr>
      </w:pPr>
      <w:r w:rsidRPr="00D85419">
        <w:rPr>
          <w:bCs/>
          <w:sz w:val="24"/>
          <w:szCs w:val="24"/>
          <w:lang w:val="lv-LV"/>
        </w:rPr>
        <w:t>Pieteikums un piedāvājums tirgus izpētē iesniedzams līdz 2025.</w:t>
      </w:r>
      <w:r w:rsidR="00A92DC5">
        <w:rPr>
          <w:bCs/>
          <w:sz w:val="24"/>
          <w:szCs w:val="24"/>
          <w:lang w:val="lv-LV"/>
        </w:rPr>
        <w:t> </w:t>
      </w:r>
      <w:r w:rsidRPr="00D85419">
        <w:rPr>
          <w:bCs/>
          <w:sz w:val="24"/>
          <w:szCs w:val="24"/>
          <w:lang w:val="lv-LV"/>
        </w:rPr>
        <w:t xml:space="preserve">gada </w:t>
      </w:r>
      <w:r w:rsidR="00147C98">
        <w:rPr>
          <w:bCs/>
          <w:sz w:val="24"/>
          <w:szCs w:val="24"/>
          <w:lang w:val="lv-LV"/>
        </w:rPr>
        <w:t>31</w:t>
      </w:r>
      <w:r w:rsidRPr="00D85419">
        <w:rPr>
          <w:bCs/>
          <w:sz w:val="24"/>
          <w:szCs w:val="24"/>
          <w:lang w:val="lv-LV"/>
        </w:rPr>
        <w:t>.</w:t>
      </w:r>
      <w:r w:rsidR="00A92DC5">
        <w:rPr>
          <w:bCs/>
          <w:sz w:val="24"/>
          <w:szCs w:val="24"/>
          <w:lang w:val="lv-LV"/>
        </w:rPr>
        <w:t> </w:t>
      </w:r>
      <w:r w:rsidRPr="00D85419">
        <w:rPr>
          <w:bCs/>
          <w:sz w:val="24"/>
          <w:szCs w:val="24"/>
          <w:lang w:val="lv-LV"/>
        </w:rPr>
        <w:t xml:space="preserve">augustam </w:t>
      </w:r>
      <w:r>
        <w:rPr>
          <w:b w:val="0"/>
          <w:sz w:val="24"/>
          <w:szCs w:val="24"/>
          <w:lang w:val="lv-LV"/>
        </w:rPr>
        <w:t>(ieskaitot)</w:t>
      </w:r>
      <w:r w:rsidRPr="00D85419">
        <w:rPr>
          <w:b w:val="0"/>
          <w:sz w:val="24"/>
          <w:szCs w:val="24"/>
          <w:lang w:val="lv-LV"/>
        </w:rPr>
        <w:t xml:space="preserve">, elektroniski, nosūtot to uz e-pastu: </w:t>
      </w:r>
      <w:hyperlink r:id="rId11" w:history="1">
        <w:r w:rsidR="00F52B10" w:rsidRPr="00846D2E">
          <w:rPr>
            <w:rStyle w:val="Hyperlink"/>
            <w:b w:val="0"/>
            <w:sz w:val="24"/>
            <w:szCs w:val="24"/>
            <w:lang w:val="lv-LV"/>
          </w:rPr>
          <w:t>asnate.briede@npvc.lv</w:t>
        </w:r>
      </w:hyperlink>
      <w:r w:rsidR="00F75D80">
        <w:rPr>
          <w:b w:val="0"/>
          <w:sz w:val="24"/>
          <w:szCs w:val="24"/>
          <w:lang w:val="lv-LV"/>
        </w:rPr>
        <w:t xml:space="preserve"> </w:t>
      </w:r>
      <w:r w:rsidR="00F75D80" w:rsidRPr="00F75D80">
        <w:rPr>
          <w:b w:val="0"/>
          <w:sz w:val="24"/>
          <w:szCs w:val="24"/>
          <w:lang w:val="lv-LV"/>
        </w:rPr>
        <w:t>vai iesniedzams</w:t>
      </w:r>
      <w:r w:rsidR="00F75D80">
        <w:rPr>
          <w:b w:val="0"/>
          <w:sz w:val="24"/>
          <w:szCs w:val="24"/>
          <w:lang w:val="lv-LV"/>
        </w:rPr>
        <w:t xml:space="preserve"> klātienē</w:t>
      </w:r>
      <w:r w:rsidR="00F75D80" w:rsidRPr="00F75D80">
        <w:rPr>
          <w:b w:val="0"/>
          <w:sz w:val="24"/>
          <w:szCs w:val="24"/>
          <w:lang w:val="lv-LV"/>
        </w:rPr>
        <w:t xml:space="preserve"> NPVC Tvaika ielā 2, Rīgā, Administrācijas korpusā "A", 2. stāvā, 211. kabinetā</w:t>
      </w:r>
      <w:r w:rsidR="00F75D80">
        <w:rPr>
          <w:b w:val="0"/>
          <w:sz w:val="24"/>
          <w:szCs w:val="24"/>
          <w:lang w:val="lv-LV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5452"/>
      </w:tblGrid>
      <w:tr w:rsidR="004C1CEB" w:rsidRPr="00586F1A" w14:paraId="1262171D" w14:textId="77777777" w:rsidTr="008E6A9D">
        <w:trPr>
          <w:trHeight w:val="595"/>
        </w:trPr>
        <w:tc>
          <w:tcPr>
            <w:tcW w:w="3610" w:type="dxa"/>
            <w:shd w:val="clear" w:color="auto" w:fill="F2F2F2"/>
            <w:vAlign w:val="center"/>
          </w:tcPr>
          <w:p w14:paraId="08FA860C" w14:textId="77777777" w:rsidR="004C1CEB" w:rsidRPr="00586F1A" w:rsidRDefault="004C1CEB" w:rsidP="008E6A9D">
            <w:pPr>
              <w:spacing w:after="160" w:line="259" w:lineRule="auto"/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</w:pPr>
            <w:bookmarkStart w:id="0" w:name="_Hlk140670943"/>
            <w:r w:rsidRPr="00586F1A"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  <w:t>Pretendenta</w:t>
            </w:r>
            <w:r w:rsidRPr="005B2802"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  <w:t xml:space="preserve"> </w:t>
            </w:r>
            <w:r w:rsidRPr="00586F1A"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  <w:t>vārds, uzvārds</w:t>
            </w:r>
          </w:p>
        </w:tc>
        <w:tc>
          <w:tcPr>
            <w:tcW w:w="5452" w:type="dxa"/>
            <w:vAlign w:val="center"/>
          </w:tcPr>
          <w:p w14:paraId="0DF530E9" w14:textId="77777777" w:rsidR="004C1CEB" w:rsidRPr="00586F1A" w:rsidRDefault="004C1CEB" w:rsidP="008E6A9D">
            <w:pPr>
              <w:spacing w:after="160" w:line="259" w:lineRule="auto"/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</w:pPr>
          </w:p>
        </w:tc>
      </w:tr>
      <w:tr w:rsidR="004C1CEB" w:rsidRPr="00586F1A" w14:paraId="70725289" w14:textId="77777777" w:rsidTr="008E6A9D">
        <w:trPr>
          <w:trHeight w:val="413"/>
        </w:trPr>
        <w:tc>
          <w:tcPr>
            <w:tcW w:w="3610" w:type="dxa"/>
            <w:shd w:val="clear" w:color="auto" w:fill="F2F2F2"/>
            <w:vAlign w:val="center"/>
          </w:tcPr>
          <w:p w14:paraId="581D7D6A" w14:textId="77777777" w:rsidR="004C1CEB" w:rsidRPr="00586F1A" w:rsidRDefault="004C1CEB" w:rsidP="008E6A9D">
            <w:pPr>
              <w:spacing w:after="160" w:line="259" w:lineRule="auto"/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</w:pPr>
            <w:r w:rsidRPr="00586F1A"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  <w:t>Datums, paraksts</w:t>
            </w:r>
          </w:p>
        </w:tc>
        <w:tc>
          <w:tcPr>
            <w:tcW w:w="5452" w:type="dxa"/>
            <w:vAlign w:val="center"/>
          </w:tcPr>
          <w:p w14:paraId="7E612917" w14:textId="77777777" w:rsidR="004C1CEB" w:rsidRPr="00586F1A" w:rsidRDefault="004C1CEB" w:rsidP="008E6A9D">
            <w:pPr>
              <w:spacing w:after="160" w:line="259" w:lineRule="auto"/>
              <w:rPr>
                <w:rFonts w:eastAsia="Aptos"/>
                <w:b w:val="0"/>
                <w:bCs/>
                <w:kern w:val="2"/>
                <w:sz w:val="22"/>
                <w:szCs w:val="20"/>
                <w:lang w:val="lv-LV"/>
              </w:rPr>
            </w:pPr>
            <w:r w:rsidRPr="00586F1A">
              <w:rPr>
                <w:rFonts w:eastAsia="Aptos"/>
                <w:b w:val="0"/>
                <w:bCs/>
                <w:kern w:val="2"/>
                <w:sz w:val="18"/>
                <w:szCs w:val="18"/>
                <w:lang w:val="lv-LV"/>
              </w:rPr>
              <w:t>DOKUMENTS IR PARAKSTĪTS AR DROŠU ELEKTRONISKO PARAKSTU UN SATUR LAIKA ZĪMOGU</w:t>
            </w:r>
          </w:p>
        </w:tc>
      </w:tr>
      <w:bookmarkEnd w:id="0"/>
    </w:tbl>
    <w:p w14:paraId="4994F3EB" w14:textId="77777777" w:rsidR="00E124F3" w:rsidRDefault="00E124F3"/>
    <w:sectPr w:rsidR="00E124F3" w:rsidSect="004C1CEB">
      <w:headerReference w:type="default" r:id="rId12"/>
      <w:footerReference w:type="even" r:id="rId13"/>
      <w:footerReference w:type="default" r:id="rId14"/>
      <w:pgSz w:w="11907" w:h="16840" w:code="9"/>
      <w:pgMar w:top="1134" w:right="1134" w:bottom="1134" w:left="1701" w:header="709" w:footer="709" w:gutter="0"/>
      <w:cols w:space="708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9B28" w14:textId="77777777" w:rsidR="008E31FB" w:rsidRDefault="008E31FB" w:rsidP="00D54966">
      <w:r>
        <w:separator/>
      </w:r>
    </w:p>
  </w:endnote>
  <w:endnote w:type="continuationSeparator" w:id="0">
    <w:p w14:paraId="44E13F73" w14:textId="77777777" w:rsidR="008E31FB" w:rsidRDefault="008E31FB" w:rsidP="00D5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288D" w14:textId="77777777" w:rsidR="004C1CEB" w:rsidRDefault="004C1CEB" w:rsidP="00FE227B">
    <w:pPr>
      <w:pStyle w:val="Footer"/>
      <w:framePr w:wrap="around" w:vAnchor="text" w:hAnchor="margin" w:xAlign="center" w:y="1"/>
      <w:rPr>
        <w:rStyle w:val="PageNumber"/>
        <w:rFonts w:eastAsiaTheme="majorEastAsia"/>
        <w:sz w:val="32"/>
        <w:szCs w:val="32"/>
      </w:rPr>
    </w:pPr>
    <w:r>
      <w:rPr>
        <w:rStyle w:val="PageNumber"/>
        <w:rFonts w:eastAsiaTheme="majorEastAsia"/>
        <w:sz w:val="32"/>
        <w:szCs w:val="32"/>
      </w:rPr>
      <w:fldChar w:fldCharType="begin"/>
    </w:r>
    <w:r>
      <w:rPr>
        <w:rStyle w:val="PageNumber"/>
        <w:rFonts w:eastAsiaTheme="majorEastAsia"/>
        <w:sz w:val="32"/>
        <w:szCs w:val="32"/>
      </w:rPr>
      <w:instrText xml:space="preserve">PAGE  </w:instrText>
    </w:r>
    <w:r>
      <w:rPr>
        <w:rStyle w:val="PageNumber"/>
        <w:rFonts w:eastAsiaTheme="majorEastAsia"/>
        <w:sz w:val="32"/>
        <w:szCs w:val="32"/>
      </w:rPr>
      <w:fldChar w:fldCharType="end"/>
    </w:r>
  </w:p>
  <w:p w14:paraId="5EB78BC0" w14:textId="77777777" w:rsidR="004C1CEB" w:rsidRDefault="004C1CEB">
    <w:pPr>
      <w:pStyle w:val="Footer"/>
      <w:ind w:right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761485"/>
      <w:docPartObj>
        <w:docPartGallery w:val="Page Numbers (Bottom of Page)"/>
        <w:docPartUnique/>
      </w:docPartObj>
    </w:sdtPr>
    <w:sdtEndPr>
      <w:rPr>
        <w:b w:val="0"/>
        <w:bCs/>
        <w:noProof/>
        <w:sz w:val="22"/>
        <w:szCs w:val="22"/>
      </w:rPr>
    </w:sdtEndPr>
    <w:sdtContent>
      <w:p w14:paraId="27416C7F" w14:textId="60923C2B" w:rsidR="00D34CE8" w:rsidRPr="00D34CE8" w:rsidRDefault="00D34CE8">
        <w:pPr>
          <w:pStyle w:val="Footer"/>
          <w:jc w:val="right"/>
          <w:rPr>
            <w:b w:val="0"/>
            <w:bCs/>
            <w:sz w:val="22"/>
            <w:szCs w:val="22"/>
          </w:rPr>
        </w:pPr>
        <w:r w:rsidRPr="00D34CE8">
          <w:rPr>
            <w:b w:val="0"/>
            <w:bCs/>
            <w:sz w:val="22"/>
            <w:szCs w:val="22"/>
          </w:rPr>
          <w:fldChar w:fldCharType="begin"/>
        </w:r>
        <w:r w:rsidRPr="00D34CE8">
          <w:rPr>
            <w:b w:val="0"/>
            <w:bCs/>
            <w:sz w:val="22"/>
            <w:szCs w:val="22"/>
          </w:rPr>
          <w:instrText xml:space="preserve"> PAGE   \* MERGEFORMAT </w:instrText>
        </w:r>
        <w:r w:rsidRPr="00D34CE8">
          <w:rPr>
            <w:b w:val="0"/>
            <w:bCs/>
            <w:sz w:val="22"/>
            <w:szCs w:val="22"/>
          </w:rPr>
          <w:fldChar w:fldCharType="separate"/>
        </w:r>
        <w:r w:rsidRPr="00D34CE8">
          <w:rPr>
            <w:b w:val="0"/>
            <w:bCs/>
            <w:noProof/>
            <w:sz w:val="22"/>
            <w:szCs w:val="22"/>
          </w:rPr>
          <w:t>2</w:t>
        </w:r>
        <w:r w:rsidRPr="00D34CE8">
          <w:rPr>
            <w:b w:val="0"/>
            <w:bCs/>
            <w:noProof/>
            <w:sz w:val="22"/>
            <w:szCs w:val="22"/>
          </w:rPr>
          <w:fldChar w:fldCharType="end"/>
        </w:r>
      </w:p>
    </w:sdtContent>
  </w:sdt>
  <w:p w14:paraId="40853FC1" w14:textId="77777777" w:rsidR="004C1CEB" w:rsidRDefault="004C1CEB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244A" w14:textId="77777777" w:rsidR="008E31FB" w:rsidRDefault="008E31FB" w:rsidP="00D54966">
      <w:r>
        <w:separator/>
      </w:r>
    </w:p>
  </w:footnote>
  <w:footnote w:type="continuationSeparator" w:id="0">
    <w:p w14:paraId="3A5FBD88" w14:textId="77777777" w:rsidR="008E31FB" w:rsidRDefault="008E31FB" w:rsidP="00D54966">
      <w:r>
        <w:continuationSeparator/>
      </w:r>
    </w:p>
  </w:footnote>
  <w:footnote w:id="1">
    <w:p w14:paraId="66853092" w14:textId="441BA30C" w:rsidR="00600617" w:rsidRPr="00600617" w:rsidRDefault="00600617" w:rsidP="00A92DC5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600617">
        <w:rPr>
          <w:b w:val="0"/>
          <w:lang w:val="lv-LV"/>
        </w:rPr>
        <w:t>Pretendents aizpilda aili “Cena EUR bez PVN/h”, attiecīgajā eksperta/</w:t>
      </w:r>
      <w:r w:rsidR="00A92DC5">
        <w:rPr>
          <w:b w:val="0"/>
          <w:lang w:val="lv-LV"/>
        </w:rPr>
        <w:t>speciālista</w:t>
      </w:r>
      <w:r w:rsidRPr="00600617">
        <w:rPr>
          <w:b w:val="0"/>
          <w:lang w:val="lv-LV"/>
        </w:rPr>
        <w:t xml:space="preserve"> pozīcijā, kurā piesaka savu dalību, ievērojot </w:t>
      </w:r>
      <w:r w:rsidR="00A92DC5">
        <w:rPr>
          <w:b w:val="0"/>
          <w:lang w:val="lv-LV"/>
        </w:rPr>
        <w:t>1. </w:t>
      </w:r>
      <w:r w:rsidRPr="00600617">
        <w:rPr>
          <w:b w:val="0"/>
          <w:lang w:val="lv-LV"/>
        </w:rPr>
        <w:t>pielikumā noteiktās prasības un darba uzdevumus. Viens pretendents var pieteikties uz vienu pozīciju. Pretendents var dzēst ailes uz kurām savu dalību nepiesaka.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72E8" w14:textId="6C56FFA3" w:rsidR="00600617" w:rsidRPr="00600617" w:rsidRDefault="00600617" w:rsidP="00600617">
    <w:pPr>
      <w:pStyle w:val="Header"/>
      <w:ind w:left="720"/>
      <w:jc w:val="right"/>
      <w:rPr>
        <w:noProof/>
        <w:sz w:val="22"/>
        <w:szCs w:val="22"/>
        <w:lang w:val="lv-LV"/>
      </w:rPr>
    </w:pPr>
    <w:r w:rsidRPr="00600617">
      <w:rPr>
        <w:noProof/>
        <w:sz w:val="22"/>
        <w:szCs w:val="22"/>
        <w:lang w:val="lv-LV"/>
      </w:rPr>
      <w:t>2. pielikums</w:t>
    </w:r>
  </w:p>
  <w:p w14:paraId="19D0FDEF" w14:textId="77777777" w:rsidR="00600617" w:rsidRPr="00C87031" w:rsidRDefault="00600617" w:rsidP="00600617">
    <w:pPr>
      <w:pStyle w:val="Header"/>
      <w:jc w:val="right"/>
      <w:rPr>
        <w:rFonts w:eastAsia="Calibri"/>
        <w:b w:val="0"/>
        <w:bCs/>
        <w:sz w:val="22"/>
        <w:szCs w:val="22"/>
        <w:lang w:val="lv-LV"/>
      </w:rPr>
    </w:pPr>
    <w:r w:rsidRPr="00C87031">
      <w:rPr>
        <w:b w:val="0"/>
        <w:bCs/>
        <w:noProof/>
        <w:sz w:val="22"/>
        <w:szCs w:val="22"/>
        <w:lang w:val="lv-LV"/>
      </w:rPr>
      <w:t>pie tirgus izpētes “</w:t>
    </w:r>
    <w:r w:rsidRPr="00C87031">
      <w:rPr>
        <w:rFonts w:eastAsia="Calibri"/>
        <w:b w:val="0"/>
        <w:bCs/>
        <w:sz w:val="22"/>
        <w:szCs w:val="22"/>
        <w:lang w:val="lv-LV"/>
      </w:rPr>
      <w:t xml:space="preserve">Metodiskās norādes klīniskā audita veikšanai un </w:t>
    </w:r>
  </w:p>
  <w:p w14:paraId="01AA7087" w14:textId="77777777" w:rsidR="00600617" w:rsidRPr="00C87031" w:rsidRDefault="00600617" w:rsidP="00600617">
    <w:pPr>
      <w:pStyle w:val="Header"/>
      <w:jc w:val="right"/>
      <w:rPr>
        <w:b w:val="0"/>
        <w:bCs/>
        <w:noProof/>
        <w:sz w:val="22"/>
        <w:szCs w:val="22"/>
        <w:lang w:val="lv-LV"/>
      </w:rPr>
    </w:pPr>
    <w:r w:rsidRPr="00C87031">
      <w:rPr>
        <w:rFonts w:eastAsia="Calibri"/>
        <w:b w:val="0"/>
        <w:bCs/>
        <w:sz w:val="22"/>
        <w:szCs w:val="22"/>
        <w:lang w:val="lv-LV"/>
      </w:rPr>
      <w:t>klīniskais audits tiesu narkoloģisko ekspertīžu un ķīmiski toksikoloģiskās izmeklēšanas jomā</w:t>
    </w:r>
    <w:r w:rsidRPr="00C87031">
      <w:rPr>
        <w:b w:val="0"/>
        <w:bCs/>
        <w:noProof/>
        <w:sz w:val="22"/>
        <w:szCs w:val="22"/>
        <w:lang w:val="lv-LV"/>
      </w:rPr>
      <w:t xml:space="preserve">” </w:t>
    </w:r>
  </w:p>
  <w:p w14:paraId="02AB8F16" w14:textId="77777777" w:rsidR="00600617" w:rsidRPr="00C87031" w:rsidRDefault="00600617" w:rsidP="00600617">
    <w:pPr>
      <w:pStyle w:val="Header"/>
      <w:jc w:val="right"/>
      <w:rPr>
        <w:b w:val="0"/>
        <w:bCs/>
        <w:noProof/>
        <w:sz w:val="22"/>
        <w:szCs w:val="22"/>
        <w:lang w:val="lv-LV"/>
      </w:rPr>
    </w:pPr>
    <w:r w:rsidRPr="00C87031">
      <w:rPr>
        <w:b w:val="0"/>
        <w:bCs/>
        <w:noProof/>
        <w:sz w:val="22"/>
        <w:szCs w:val="22"/>
        <w:lang w:val="lv-LV"/>
      </w:rPr>
      <w:t>Nr. NPVC/2025/64-t</w:t>
    </w:r>
  </w:p>
  <w:p w14:paraId="29234DFC" w14:textId="0A9D00A3" w:rsidR="00D54966" w:rsidRDefault="00D54966" w:rsidP="006006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44D8"/>
    <w:multiLevelType w:val="hybridMultilevel"/>
    <w:tmpl w:val="9342E3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35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89"/>
    <w:rsid w:val="00147C98"/>
    <w:rsid w:val="00161557"/>
    <w:rsid w:val="002D4E59"/>
    <w:rsid w:val="003B09EC"/>
    <w:rsid w:val="00412FE8"/>
    <w:rsid w:val="00413908"/>
    <w:rsid w:val="004C1CEB"/>
    <w:rsid w:val="005D2B89"/>
    <w:rsid w:val="005F2909"/>
    <w:rsid w:val="00600617"/>
    <w:rsid w:val="00624726"/>
    <w:rsid w:val="006A3428"/>
    <w:rsid w:val="008E31FB"/>
    <w:rsid w:val="00A078C8"/>
    <w:rsid w:val="00A31AE2"/>
    <w:rsid w:val="00A92DC5"/>
    <w:rsid w:val="00B930E4"/>
    <w:rsid w:val="00D07FEA"/>
    <w:rsid w:val="00D34CE8"/>
    <w:rsid w:val="00D54966"/>
    <w:rsid w:val="00E124F3"/>
    <w:rsid w:val="00E3730F"/>
    <w:rsid w:val="00F52B10"/>
    <w:rsid w:val="00F75D80"/>
    <w:rsid w:val="00F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5312"/>
  <w15:chartTrackingRefBased/>
  <w15:docId w15:val="{323DB45F-F795-4825-8C56-4ED10ED6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EB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36"/>
      <w:szCs w:val="36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B8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4C1CE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C1CEB"/>
    <w:rPr>
      <w:rFonts w:ascii="Times New Roman" w:eastAsia="Times New Roman" w:hAnsi="Times New Roman" w:cs="Times New Roman"/>
      <w:b/>
      <w:kern w:val="0"/>
      <w:sz w:val="36"/>
      <w:szCs w:val="36"/>
      <w:lang w:val="en-GB" w:eastAsia="x-none"/>
      <w14:ligatures w14:val="none"/>
    </w:rPr>
  </w:style>
  <w:style w:type="character" w:styleId="PageNumber">
    <w:name w:val="page number"/>
    <w:uiPriority w:val="99"/>
    <w:rsid w:val="004C1CEB"/>
    <w:rPr>
      <w:rFonts w:cs="Times New Roman"/>
    </w:rPr>
  </w:style>
  <w:style w:type="character" w:styleId="Hyperlink">
    <w:name w:val="Hyperlink"/>
    <w:uiPriority w:val="99"/>
    <w:unhideWhenUsed/>
    <w:rsid w:val="004C1CE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9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966"/>
    <w:rPr>
      <w:rFonts w:ascii="Times New Roman" w:eastAsia="Times New Roman" w:hAnsi="Times New Roman" w:cs="Times New Roman"/>
      <w:b/>
      <w:kern w:val="0"/>
      <w:sz w:val="36"/>
      <w:szCs w:val="36"/>
      <w:lang w:val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6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617"/>
    <w:rPr>
      <w:rFonts w:ascii="Times New Roman" w:eastAsia="Times New Roman" w:hAnsi="Times New Roman" w:cs="Times New Roman"/>
      <w:b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061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5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nate.briede@npvc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1e7f8-64c2-4f2c-bf47-ebf9c30f7414">
      <Terms xmlns="http://schemas.microsoft.com/office/infopath/2007/PartnerControls"/>
    </lcf76f155ced4ddcb4097134ff3c332f>
    <TaxCatchAll xmlns="a001bc6f-55df-47ec-ab2e-3cf8b423fe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FFEAE8F7D54B64399ACC4C3224EBE8D" ma:contentTypeVersion="14" ma:contentTypeDescription="Izveidot jaunu dokumentu." ma:contentTypeScope="" ma:versionID="33d664d51c8aaad39599f6e9baa42513">
  <xsd:schema xmlns:xsd="http://www.w3.org/2001/XMLSchema" xmlns:xs="http://www.w3.org/2001/XMLSchema" xmlns:p="http://schemas.microsoft.com/office/2006/metadata/properties" xmlns:ns2="ba81e7f8-64c2-4f2c-bf47-ebf9c30f7414" xmlns:ns3="a001bc6f-55df-47ec-ab2e-3cf8b423fec6" targetNamespace="http://schemas.microsoft.com/office/2006/metadata/properties" ma:root="true" ma:fieldsID="60a4a5b1a1be596219771cf15c2e294e" ns2:_="" ns3:_="">
    <xsd:import namespace="ba81e7f8-64c2-4f2c-bf47-ebf9c30f7414"/>
    <xsd:import namespace="a001bc6f-55df-47ec-ab2e-3cf8b423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1e7f8-64c2-4f2c-bf47-ebf9c30f7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a7cf9d1c-b171-4006-9749-f8cdad05b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1bc6f-55df-47ec-ab2e-3cf8b423f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0c15b3-e5d2-4450-b611-35c0c17a6d02}" ma:internalName="TaxCatchAll" ma:showField="CatchAllData" ma:web="a001bc6f-55df-47ec-ab2e-3cf8b423f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9E098-5971-4F14-9A17-837B1BB92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5FFF5-B736-47AE-9F37-2ADE8F551101}">
  <ds:schemaRefs>
    <ds:schemaRef ds:uri="http://schemas.microsoft.com/office/2006/metadata/properties"/>
    <ds:schemaRef ds:uri="http://schemas.microsoft.com/office/infopath/2007/PartnerControls"/>
    <ds:schemaRef ds:uri="ba81e7f8-64c2-4f2c-bf47-ebf9c30f7414"/>
    <ds:schemaRef ds:uri="a001bc6f-55df-47ec-ab2e-3cf8b423fec6"/>
  </ds:schemaRefs>
</ds:datastoreItem>
</file>

<file path=customXml/itemProps3.xml><?xml version="1.0" encoding="utf-8"?>
<ds:datastoreItem xmlns:ds="http://schemas.openxmlformats.org/officeDocument/2006/customXml" ds:itemID="{6ADA855B-71AF-4AC8-91B3-62011526C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1e7f8-64c2-4f2c-bf47-ebf9c30f7414"/>
    <ds:schemaRef ds:uri="a001bc6f-55df-47ec-ab2e-3cf8b423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1EE6E-057B-4622-8291-4D3C0AA39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1201</Words>
  <Characters>685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Veide</dc:creator>
  <cp:keywords/>
  <dc:description/>
  <cp:lastModifiedBy>Sanita Lauceniece</cp:lastModifiedBy>
  <cp:revision>2</cp:revision>
  <dcterms:created xsi:type="dcterms:W3CDTF">2025-08-20T12:25:00Z</dcterms:created>
  <dcterms:modified xsi:type="dcterms:W3CDTF">2025-08-20T12:25:00Z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0x0101001FFEAE8F7D54B64399ACC4C3224EBE8D</vt:lpwstr>
  </property>
  <property fmtid="{D5CDD505-2E9C-101B-9397-08002B2CF9AE}" pid="3" name="MediaServiceImageTags">
    <vt:lpwstr/>
  </property>
</Properties>
</file>